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05F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1070AA" wp14:editId="2320CCB2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77777777" w:rsidR="009B06D8" w:rsidRPr="00CF182B" w:rsidRDefault="009B06D8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44053C91" w14:textId="77777777" w:rsidTr="009B32B8">
        <w:tc>
          <w:tcPr>
            <w:tcW w:w="5000" w:type="pct"/>
          </w:tcPr>
          <w:p w14:paraId="12BAB8D5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1E936A14" w14:textId="4B3BD70A" w:rsidR="009B32B8" w:rsidRPr="008F0564" w:rsidRDefault="00467115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Karl</w:t>
            </w:r>
          </w:p>
          <w:p w14:paraId="363C57E8" w14:textId="3B9D5A06" w:rsidR="008F0564" w:rsidRPr="00CF182B" w:rsidRDefault="008F0564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5F2AFA88" w14:textId="77777777" w:rsidTr="009B32B8">
        <w:tc>
          <w:tcPr>
            <w:tcW w:w="5000" w:type="pct"/>
          </w:tcPr>
          <w:p w14:paraId="735A3DEC" w14:textId="6DC82C39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21742E68" w14:textId="6D60FF5A" w:rsidR="00467115" w:rsidRPr="008F0564" w:rsidRDefault="00467115" w:rsidP="00467115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Mackie</w:t>
            </w:r>
          </w:p>
          <w:p w14:paraId="22E25030" w14:textId="20518B50" w:rsidR="009B32B8" w:rsidRPr="00CF182B" w:rsidRDefault="009B32B8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D945362" w14:textId="77777777" w:rsidTr="009B32B8">
        <w:tc>
          <w:tcPr>
            <w:tcW w:w="5000" w:type="pct"/>
          </w:tcPr>
          <w:p w14:paraId="5B822D62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667283E3" w14:textId="77777777" w:rsidR="008F0564" w:rsidRPr="00467115" w:rsidRDefault="00467115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>Dr Karl Mackie CBE</w:t>
            </w:r>
          </w:p>
          <w:p w14:paraId="6096A066" w14:textId="4E3871CC" w:rsidR="00467115" w:rsidRPr="00CF182B" w:rsidRDefault="00467115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22A95EAF" w14:textId="77777777" w:rsidTr="009B32B8">
        <w:tc>
          <w:tcPr>
            <w:tcW w:w="5000" w:type="pct"/>
          </w:tcPr>
          <w:p w14:paraId="1183FEFE" w14:textId="240E5775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5B5ADE87" w14:textId="77777777" w:rsidR="009B32B8" w:rsidRPr="00467115" w:rsidRDefault="00467115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proofErr w:type="spellStart"/>
            <w:r w:rsidRPr="00467115">
              <w:rPr>
                <w:rFonts w:ascii="Gilroy Medium" w:eastAsia="Times New Roman" w:hAnsi="Gilroy Medium" w:cs="Arial"/>
              </w:rPr>
              <w:t>CEDR</w:t>
            </w:r>
            <w:proofErr w:type="spellEnd"/>
          </w:p>
          <w:p w14:paraId="1AFE23A0" w14:textId="78A48A4F" w:rsidR="00467115" w:rsidRPr="00CF182B" w:rsidRDefault="00467115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A669E19" w14:textId="77777777" w:rsidTr="009B32B8">
        <w:tc>
          <w:tcPr>
            <w:tcW w:w="5000" w:type="pct"/>
          </w:tcPr>
          <w:p w14:paraId="3EED5537" w14:textId="5828626B" w:rsidR="009B32B8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68F5D3DD" w14:textId="77777777" w:rsidR="008F0564" w:rsidRPr="00467115" w:rsidRDefault="00467115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>British</w:t>
            </w:r>
          </w:p>
          <w:p w14:paraId="4259CEFD" w14:textId="5F2D53D4" w:rsidR="00467115" w:rsidRPr="00CF182B" w:rsidRDefault="00467115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435033" w:rsidRPr="00CF182B" w14:paraId="1D779D4B" w14:textId="77777777" w:rsidTr="009B32B8">
        <w:tc>
          <w:tcPr>
            <w:tcW w:w="5000" w:type="pct"/>
          </w:tcPr>
          <w:p w14:paraId="70D3E13B" w14:textId="4524C8A8" w:rsidR="00435033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34D15583" w14:textId="77777777" w:rsidR="008F0564" w:rsidRPr="00467115" w:rsidRDefault="00467115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>English</w:t>
            </w:r>
          </w:p>
          <w:p w14:paraId="36315431" w14:textId="698BD759" w:rsidR="00467115" w:rsidRPr="00CF182B" w:rsidRDefault="00467115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7E64DFD9" w14:textId="77777777" w:rsidTr="009B32B8">
        <w:tc>
          <w:tcPr>
            <w:tcW w:w="5000" w:type="pct"/>
          </w:tcPr>
          <w:p w14:paraId="2AD6681D" w14:textId="3E32F99C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CF182B" w14:paraId="099BC710" w14:textId="77777777" w:rsidTr="00C170EA">
              <w:tc>
                <w:tcPr>
                  <w:tcW w:w="4820" w:type="dxa"/>
                </w:tcPr>
                <w:p w14:paraId="7EEC7453" w14:textId="42BD6CE2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503794F4" w14:textId="36712355" w:rsidR="009B32B8" w:rsidRPr="00CF182B" w:rsidRDefault="00467115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F5A37C4" w14:textId="22A57A8B" w:rsidR="009B32B8" w:rsidRPr="00CF182B" w:rsidRDefault="00467115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431A6652" w14:textId="5862B4DB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467115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Energy</w:t>
                  </w:r>
                </w:p>
                <w:p w14:paraId="3B38DC90" w14:textId="55780B32" w:rsidR="009B32B8" w:rsidRPr="00CF182B" w:rsidRDefault="00467115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14:paraId="08FCE3A8" w14:textId="68A3DEBB" w:rsidR="009B32B8" w:rsidRPr="00CF182B" w:rsidRDefault="00467115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68B659C1" w14:textId="3F391145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369E2405" w14:textId="5064C653" w:rsidR="009B32B8" w:rsidRPr="00CF182B" w:rsidRDefault="00467115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7131E738" w14:textId="7432552F" w:rsidR="009B32B8" w:rsidRPr="00CF182B" w:rsidRDefault="00467115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2804B0D" w14:textId="4DB56B6E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467115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467115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ECC075E" w14:textId="02C2D4A8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F3FD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</w:t>
                  </w:r>
                  <w:r w:rsidR="008F0564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: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 w:rsidR="00467115" w:rsidRPr="00467115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Business and human rights; investor-state; corporate governance.</w:t>
                  </w:r>
                </w:p>
                <w:p w14:paraId="64436C3A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8306A0F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467115" w14:paraId="260FA10F" w14:textId="77777777" w:rsidTr="00BF73EA">
        <w:tc>
          <w:tcPr>
            <w:tcW w:w="5000" w:type="pct"/>
          </w:tcPr>
          <w:p w14:paraId="3CF3BE72" w14:textId="77777777" w:rsidR="00F27B1A" w:rsidRPr="00467115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</w:p>
          <w:p w14:paraId="2434283C" w14:textId="77777777" w:rsidR="00467115" w:rsidRPr="00467115" w:rsidRDefault="00467115" w:rsidP="00467115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>MA Hons Psychology University of Edinburgh</w:t>
            </w:r>
          </w:p>
          <w:p w14:paraId="7FF84B2D" w14:textId="77777777" w:rsidR="00467115" w:rsidRPr="00467115" w:rsidRDefault="00467115" w:rsidP="00467115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proofErr w:type="spellStart"/>
            <w:r w:rsidRPr="00467115">
              <w:rPr>
                <w:rFonts w:ascii="Gilroy Medium" w:eastAsia="Times New Roman" w:hAnsi="Gilroy Medium" w:cs="Arial"/>
              </w:rPr>
              <w:t>LLB</w:t>
            </w:r>
            <w:proofErr w:type="spellEnd"/>
            <w:r w:rsidRPr="00467115">
              <w:rPr>
                <w:rFonts w:ascii="Gilroy Medium" w:eastAsia="Times New Roman" w:hAnsi="Gilroy Medium" w:cs="Arial"/>
              </w:rPr>
              <w:t xml:space="preserve"> University of London</w:t>
            </w:r>
          </w:p>
          <w:p w14:paraId="73690531" w14:textId="77777777" w:rsidR="00467115" w:rsidRPr="00467115" w:rsidRDefault="00467115" w:rsidP="00467115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>MBA Open University</w:t>
            </w:r>
          </w:p>
          <w:p w14:paraId="1EF90EC8" w14:textId="77777777" w:rsidR="00467115" w:rsidRPr="00467115" w:rsidRDefault="00467115" w:rsidP="00467115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>PhD University of Nottingham</w:t>
            </w:r>
          </w:p>
          <w:p w14:paraId="53B8CA60" w14:textId="77777777" w:rsidR="00467115" w:rsidRPr="00467115" w:rsidRDefault="00467115" w:rsidP="00467115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 xml:space="preserve">Bar Finals, </w:t>
            </w:r>
            <w:proofErr w:type="spellStart"/>
            <w:r w:rsidRPr="00467115">
              <w:rPr>
                <w:rFonts w:ascii="Gilroy Medium" w:eastAsia="Times New Roman" w:hAnsi="Gilroy Medium" w:cs="Arial"/>
              </w:rPr>
              <w:t>Gray’s</w:t>
            </w:r>
            <w:proofErr w:type="spellEnd"/>
            <w:r w:rsidRPr="00467115">
              <w:rPr>
                <w:rFonts w:ascii="Gilroy Medium" w:eastAsia="Times New Roman" w:hAnsi="Gilroy Medium" w:cs="Arial"/>
              </w:rPr>
              <w:t xml:space="preserve"> </w:t>
            </w:r>
            <w:proofErr w:type="spellStart"/>
            <w:proofErr w:type="gramStart"/>
            <w:r w:rsidRPr="00467115">
              <w:rPr>
                <w:rFonts w:ascii="Gilroy Medium" w:eastAsia="Times New Roman" w:hAnsi="Gilroy Medium" w:cs="Arial"/>
              </w:rPr>
              <w:t>Inn,London</w:t>
            </w:r>
            <w:proofErr w:type="spellEnd"/>
            <w:proofErr w:type="gramEnd"/>
          </w:p>
          <w:p w14:paraId="733895CB" w14:textId="77777777" w:rsidR="00467115" w:rsidRPr="00467115" w:rsidRDefault="00467115" w:rsidP="00467115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>Chartered Psychologist, BPS</w:t>
            </w:r>
          </w:p>
          <w:p w14:paraId="5CD7938A" w14:textId="77777777" w:rsidR="00467115" w:rsidRPr="00467115" w:rsidRDefault="00467115" w:rsidP="00467115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>Fellow of the Chartered Institute of Arbitrators</w:t>
            </w:r>
          </w:p>
          <w:p w14:paraId="6DDDF075" w14:textId="55440CA4" w:rsidR="00F27B1A" w:rsidRPr="00467115" w:rsidRDefault="00467115" w:rsidP="00467115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proofErr w:type="spellStart"/>
            <w:r w:rsidRPr="00467115">
              <w:rPr>
                <w:rFonts w:ascii="Gilroy Medium" w:eastAsia="Times New Roman" w:hAnsi="Gilroy Medium" w:cs="Arial"/>
              </w:rPr>
              <w:t>CEDR</w:t>
            </w:r>
            <w:proofErr w:type="spellEnd"/>
            <w:r w:rsidRPr="00467115">
              <w:rPr>
                <w:rFonts w:ascii="Gilroy Medium" w:eastAsia="Times New Roman" w:hAnsi="Gilroy Medium" w:cs="Arial"/>
              </w:rPr>
              <w:t xml:space="preserve"> Accredited Mediator</w:t>
            </w:r>
          </w:p>
          <w:p w14:paraId="36DBC236" w14:textId="77777777" w:rsidR="00831AA6" w:rsidRPr="00467115" w:rsidRDefault="00831AA6" w:rsidP="00BF73EA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</w:p>
          <w:p w14:paraId="765E988F" w14:textId="77777777" w:rsidR="00F27B1A" w:rsidRPr="00467115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35308BCD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0A280B6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Style</w:t>
            </w:r>
          </w:p>
        </w:tc>
      </w:tr>
      <w:tr w:rsidR="00F27B1A" w:rsidRPr="00CF182B" w14:paraId="2AE9A8FD" w14:textId="77777777" w:rsidTr="00BF73EA">
        <w:tc>
          <w:tcPr>
            <w:tcW w:w="5000" w:type="pct"/>
          </w:tcPr>
          <w:p w14:paraId="22700E77" w14:textId="77777777" w:rsidR="00F27B1A" w:rsidRPr="00CF182B" w:rsidRDefault="00F27B1A" w:rsidP="00BF73EA">
            <w:pPr>
              <w:pStyle w:val="Default"/>
              <w:rPr>
                <w:rFonts w:ascii="Gilroy Medium" w:eastAsia="Times New Roman" w:hAnsi="Gilroy Medium" w:cs="Arial"/>
              </w:rPr>
            </w:pPr>
          </w:p>
          <w:p w14:paraId="17802A76" w14:textId="77777777" w:rsidR="00F27B1A" w:rsidRPr="00CF182B" w:rsidRDefault="00F27B1A" w:rsidP="00BF73EA">
            <w:pPr>
              <w:pStyle w:val="Defaul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Experience</w:t>
            </w:r>
          </w:p>
        </w:tc>
      </w:tr>
      <w:tr w:rsidR="00F27B1A" w:rsidRPr="00467115" w14:paraId="40EDEEAC" w14:textId="77777777" w:rsidTr="00BF73EA">
        <w:tc>
          <w:tcPr>
            <w:tcW w:w="5000" w:type="pct"/>
          </w:tcPr>
          <w:p w14:paraId="1EF72A55" w14:textId="77777777" w:rsidR="00F27B1A" w:rsidRPr="00467115" w:rsidRDefault="00467115" w:rsidP="00467115">
            <w:pPr>
              <w:spacing w:before="120" w:after="120" w:line="240" w:lineRule="auto"/>
              <w:rPr>
                <w:rFonts w:ascii="Gilroy Medium" w:eastAsia="Times New Roman" w:hAnsi="Gilroy Medium" w:cs="Arial"/>
              </w:rPr>
            </w:pPr>
            <w:r w:rsidRPr="00467115">
              <w:rPr>
                <w:rFonts w:ascii="Gilroy Medium" w:eastAsia="Times New Roman" w:hAnsi="Gilroy Medium" w:cs="Arial"/>
              </w:rPr>
              <w:t xml:space="preserve">Extensive experience across all sectors and both in UK and internationally as one of the founders of </w:t>
            </w:r>
            <w:proofErr w:type="spellStart"/>
            <w:r w:rsidRPr="00467115">
              <w:rPr>
                <w:rFonts w:ascii="Gilroy Medium" w:eastAsia="Times New Roman" w:hAnsi="Gilroy Medium" w:cs="Arial"/>
              </w:rPr>
              <w:t>CEDR</w:t>
            </w:r>
            <w:proofErr w:type="spellEnd"/>
            <w:r w:rsidRPr="00467115">
              <w:rPr>
                <w:rFonts w:ascii="Gilroy Medium" w:eastAsia="Times New Roman" w:hAnsi="Gilroy Medium" w:cs="Arial"/>
              </w:rPr>
              <w:t xml:space="preserve"> in 1990. Described as ‘Mr Mediation’ in the Law Section of The Times. See full CV.</w:t>
            </w:r>
          </w:p>
          <w:p w14:paraId="3C270B6B" w14:textId="5687488D" w:rsidR="00467115" w:rsidRPr="00467115" w:rsidRDefault="00467115" w:rsidP="00467115">
            <w:pPr>
              <w:spacing w:before="120" w:after="120" w:line="240" w:lineRule="auto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Education and Training</w:t>
            </w:r>
          </w:p>
        </w:tc>
      </w:tr>
      <w:tr w:rsidR="00F27B1A" w:rsidRPr="00CF182B" w14:paraId="453CA506" w14:textId="77777777" w:rsidTr="00BF73EA">
        <w:tc>
          <w:tcPr>
            <w:tcW w:w="5000" w:type="pct"/>
          </w:tcPr>
          <w:p w14:paraId="49EA2298" w14:textId="77777777" w:rsidR="00467115" w:rsidRPr="00467115" w:rsidRDefault="00467115" w:rsidP="00467115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proofErr w:type="spellStart"/>
            <w:r w:rsidRPr="00467115">
              <w:rPr>
                <w:rFonts w:ascii="Gilroy Medium" w:eastAsia="Arial Unicode MS" w:hAnsi="Gilroy Medium" w:cs="Arial"/>
              </w:rPr>
              <w:t>CEDR</w:t>
            </w:r>
            <w:proofErr w:type="spellEnd"/>
            <w:r w:rsidRPr="00467115">
              <w:rPr>
                <w:rFonts w:ascii="Gilroy Medium" w:eastAsia="Arial Unicode MS" w:hAnsi="Gilroy Medium" w:cs="Arial"/>
              </w:rPr>
              <w:t xml:space="preserve"> Accredited</w:t>
            </w:r>
          </w:p>
          <w:p w14:paraId="74CB701F" w14:textId="0BBA2C59" w:rsidR="00F27B1A" w:rsidRPr="00CF182B" w:rsidRDefault="00467115" w:rsidP="00C7370C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467115">
              <w:rPr>
                <w:rFonts w:ascii="Gilroy Medium" w:eastAsia="Arial Unicode MS" w:hAnsi="Gilroy Medium" w:cs="Arial"/>
              </w:rPr>
              <w:t>Involved in training or organising training for many hundreds of mediators in UK and internationally</w:t>
            </w:r>
          </w:p>
          <w:p w14:paraId="3B99419C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0176CA54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C7370C" w14:paraId="6E69D613" w14:textId="77777777" w:rsidTr="00BF73EA">
        <w:tc>
          <w:tcPr>
            <w:tcW w:w="5000" w:type="pct"/>
          </w:tcPr>
          <w:p w14:paraId="26B04A5A" w14:textId="77777777" w:rsidR="00C7370C" w:rsidRPr="00C7370C" w:rsidRDefault="00C7370C" w:rsidP="00C7370C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eastAsia="Times New Roman" w:hAnsi="Gilroy Medium" w:cs="Arial"/>
              </w:rPr>
            </w:pPr>
            <w:r w:rsidRPr="00C7370C">
              <w:rPr>
                <w:rFonts w:ascii="Gilroy Medium" w:eastAsia="Times New Roman" w:hAnsi="Gilroy Medium" w:cs="Arial"/>
              </w:rPr>
              <w:t xml:space="preserve">Listed on numerous international panels of mediators </w:t>
            </w:r>
            <w:proofErr w:type="spellStart"/>
            <w:r w:rsidRPr="00C7370C">
              <w:rPr>
                <w:rFonts w:ascii="Gilroy Medium" w:eastAsia="Times New Roman" w:hAnsi="Gilroy Medium" w:cs="Arial"/>
              </w:rPr>
              <w:t>eg</w:t>
            </w:r>
            <w:proofErr w:type="spellEnd"/>
            <w:r w:rsidRPr="00C7370C">
              <w:rPr>
                <w:rFonts w:ascii="Gilroy Medium" w:eastAsia="Times New Roman" w:hAnsi="Gilroy Medium" w:cs="Arial"/>
              </w:rPr>
              <w:t xml:space="preserve"> – ACAS; </w:t>
            </w:r>
            <w:proofErr w:type="spellStart"/>
            <w:r w:rsidRPr="00C7370C">
              <w:rPr>
                <w:rFonts w:ascii="Gilroy Medium" w:eastAsia="Times New Roman" w:hAnsi="Gilroy Medium" w:cs="Arial"/>
              </w:rPr>
              <w:t>CEDR</w:t>
            </w:r>
            <w:proofErr w:type="spellEnd"/>
            <w:r w:rsidRPr="00C7370C">
              <w:rPr>
                <w:rFonts w:ascii="Gilroy Medium" w:eastAsia="Times New Roman" w:hAnsi="Gilroy Medium" w:cs="Arial"/>
              </w:rPr>
              <w:t xml:space="preserve">; CPR; </w:t>
            </w:r>
            <w:proofErr w:type="spellStart"/>
            <w:r w:rsidRPr="00C7370C">
              <w:rPr>
                <w:rFonts w:ascii="Gilroy Medium" w:eastAsia="Times New Roman" w:hAnsi="Gilroy Medium" w:cs="Arial"/>
              </w:rPr>
              <w:t>CIETAC</w:t>
            </w:r>
            <w:proofErr w:type="spellEnd"/>
            <w:r w:rsidRPr="00C7370C">
              <w:rPr>
                <w:rFonts w:ascii="Gilroy Medium" w:eastAsia="Times New Roman" w:hAnsi="Gilroy Medium" w:cs="Arial"/>
              </w:rPr>
              <w:t xml:space="preserve">; SIMC; UN. </w:t>
            </w:r>
          </w:p>
          <w:p w14:paraId="54212E7E" w14:textId="77777777" w:rsidR="00C7370C" w:rsidRPr="00C7370C" w:rsidRDefault="00C7370C" w:rsidP="00C7370C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eastAsia="Times New Roman" w:hAnsi="Gilroy Medium" w:cs="Arial"/>
              </w:rPr>
            </w:pPr>
            <w:r w:rsidRPr="00C7370C">
              <w:rPr>
                <w:rFonts w:ascii="Gilroy Medium" w:eastAsia="Times New Roman" w:hAnsi="Gilroy Medium" w:cs="Arial"/>
              </w:rPr>
              <w:t xml:space="preserve">Founding President </w:t>
            </w:r>
            <w:proofErr w:type="spellStart"/>
            <w:r w:rsidRPr="00C7370C">
              <w:rPr>
                <w:rFonts w:ascii="Gilroy Medium" w:eastAsia="Times New Roman" w:hAnsi="Gilroy Medium" w:cs="Arial"/>
              </w:rPr>
              <w:t>CEDR</w:t>
            </w:r>
            <w:proofErr w:type="spellEnd"/>
          </w:p>
          <w:p w14:paraId="180182C6" w14:textId="77777777" w:rsidR="00C7370C" w:rsidRPr="00C7370C" w:rsidRDefault="00C7370C" w:rsidP="00C7370C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eastAsia="Times New Roman" w:hAnsi="Gilroy Medium" w:cs="Arial"/>
              </w:rPr>
            </w:pPr>
            <w:r w:rsidRPr="00C7370C">
              <w:rPr>
                <w:rFonts w:ascii="Gilroy Medium" w:eastAsia="Times New Roman" w:hAnsi="Gilroy Medium" w:cs="Arial"/>
              </w:rPr>
              <w:t>Deputy Chairman for 5 years of the Civil Mediation Council of the UK</w:t>
            </w:r>
          </w:p>
          <w:p w14:paraId="0D02A818" w14:textId="77777777" w:rsidR="00C7370C" w:rsidRPr="00C7370C" w:rsidRDefault="00C7370C" w:rsidP="00C7370C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eastAsia="Times New Roman" w:hAnsi="Gilroy Medium" w:cs="Arial"/>
              </w:rPr>
            </w:pPr>
            <w:r w:rsidRPr="00C7370C">
              <w:rPr>
                <w:rFonts w:ascii="Gilroy Medium" w:eastAsia="Times New Roman" w:hAnsi="Gilroy Medium" w:cs="Arial"/>
              </w:rPr>
              <w:t>Board member for 4 years of the International Mediation Institute</w:t>
            </w:r>
          </w:p>
          <w:p w14:paraId="14EF57E1" w14:textId="7638E25F" w:rsidR="00F27B1A" w:rsidRPr="00C7370C" w:rsidRDefault="00C7370C" w:rsidP="00C7370C">
            <w:pPr>
              <w:tabs>
                <w:tab w:val="left" w:pos="2127"/>
                <w:tab w:val="left" w:pos="2977"/>
              </w:tabs>
              <w:spacing w:after="0" w:line="240" w:lineRule="auto"/>
              <w:ind w:left="34"/>
              <w:rPr>
                <w:rFonts w:ascii="Gilroy Medium" w:eastAsia="Times New Roman" w:hAnsi="Gilroy Medium" w:cs="Arial"/>
              </w:rPr>
            </w:pPr>
            <w:r w:rsidRPr="00C7370C">
              <w:rPr>
                <w:rFonts w:ascii="Gilroy Medium" w:eastAsia="Times New Roman" w:hAnsi="Gilroy Medium" w:cs="Arial"/>
              </w:rPr>
              <w:t>Visiting Professor in ADR</w:t>
            </w:r>
          </w:p>
          <w:p w14:paraId="3D0B1D25" w14:textId="77777777" w:rsidR="00F27B1A" w:rsidRPr="00C7370C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48CC30CC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D469B9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Testimonials (optional)</w:t>
            </w:r>
          </w:p>
        </w:tc>
      </w:tr>
      <w:tr w:rsidR="00F27B1A" w:rsidRPr="001F3FDB" w14:paraId="6FEC82F5" w14:textId="77777777" w:rsidTr="00BF73EA">
        <w:tc>
          <w:tcPr>
            <w:tcW w:w="5000" w:type="pct"/>
          </w:tcPr>
          <w:p w14:paraId="5C78D175" w14:textId="77777777" w:rsidR="00F27B1A" w:rsidRPr="001F3FD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</w:p>
          <w:p w14:paraId="6897B3A9" w14:textId="77777777" w:rsidR="001F3FDB" w:rsidRPr="001F3FDB" w:rsidRDefault="001F3FDB" w:rsidP="001F3FDB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  <w:r w:rsidRPr="001F3FDB">
              <w:rPr>
                <w:rFonts w:ascii="Gilroy Medium" w:eastAsia="Times New Roman" w:hAnsi="Gilroy Medium" w:cs="Arial"/>
              </w:rPr>
              <w:t>See above and full CV</w:t>
            </w:r>
          </w:p>
          <w:p w14:paraId="22085D0F" w14:textId="74ABE43F" w:rsidR="00F27B1A" w:rsidRPr="001F3FD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  <w:bookmarkStart w:id="1" w:name="_GoBack"/>
            <w:bookmarkEnd w:id="1"/>
          </w:p>
          <w:p w14:paraId="0160410C" w14:textId="77777777" w:rsidR="005B507C" w:rsidRPr="001F3FDB" w:rsidRDefault="005B507C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</w:p>
          <w:p w14:paraId="35E6BCFA" w14:textId="77777777" w:rsidR="00F27B1A" w:rsidRPr="001F3FD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</w:p>
        </w:tc>
      </w:tr>
    </w:tbl>
    <w:p w14:paraId="2315BD6B" w14:textId="77777777" w:rsidR="009B32B8" w:rsidRPr="00CF182B" w:rsidRDefault="009B32B8" w:rsidP="009B32B8">
      <w:pPr>
        <w:rPr>
          <w:rFonts w:ascii="Gilroy Medium" w:hAnsi="Gilroy Medium"/>
        </w:rPr>
      </w:pPr>
    </w:p>
    <w:p w14:paraId="77608602" w14:textId="77777777" w:rsidR="00F11171" w:rsidRPr="009B32B8" w:rsidRDefault="001F3FDB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F46B4"/>
    <w:rsid w:val="0018109A"/>
    <w:rsid w:val="001F3FDB"/>
    <w:rsid w:val="00435033"/>
    <w:rsid w:val="00467115"/>
    <w:rsid w:val="004F4A54"/>
    <w:rsid w:val="00590A67"/>
    <w:rsid w:val="005B507C"/>
    <w:rsid w:val="005C2963"/>
    <w:rsid w:val="007A5AA9"/>
    <w:rsid w:val="007E21E0"/>
    <w:rsid w:val="00831AA6"/>
    <w:rsid w:val="008A2B4B"/>
    <w:rsid w:val="008F0564"/>
    <w:rsid w:val="00901A35"/>
    <w:rsid w:val="009B06D8"/>
    <w:rsid w:val="009B32B8"/>
    <w:rsid w:val="00A57DEC"/>
    <w:rsid w:val="00AB25B6"/>
    <w:rsid w:val="00C44D68"/>
    <w:rsid w:val="00C71C38"/>
    <w:rsid w:val="00C7370C"/>
    <w:rsid w:val="00CF182B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E13AC6D4-DB88-448F-AE69-34C3887E98C2}"/>
</file>

<file path=customXml/itemProps2.xml><?xml version="1.0" encoding="utf-8"?>
<ds:datastoreItem xmlns:ds="http://schemas.openxmlformats.org/officeDocument/2006/customXml" ds:itemID="{5D2E650F-64A9-471F-813B-99D5D2A54F24}"/>
</file>

<file path=customXml/itemProps3.xml><?xml version="1.0" encoding="utf-8"?>
<ds:datastoreItem xmlns:ds="http://schemas.openxmlformats.org/officeDocument/2006/customXml" ds:itemID="{E87AA47B-583A-46F8-9E4F-BE0B5D729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Lee Zhuomin</cp:lastModifiedBy>
  <cp:revision>19</cp:revision>
  <dcterms:created xsi:type="dcterms:W3CDTF">2019-01-03T12:32:00Z</dcterms:created>
  <dcterms:modified xsi:type="dcterms:W3CDTF">2019-01-16T04:25:00Z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